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166" w:lineRule="exact" w:before="606" w:after="266"/>
        <w:ind w:left="108" w:right="8496" w:firstLine="0"/>
        <w:jc w:val="left"/>
      </w:pPr>
      <w:r>
        <w:rPr>
          <w:w w:val="101.21739428976309"/>
          <w:rFonts w:ascii="TimesNewRomanPS" w:hAnsi="TimesNewRomanPS" w:eastAsia="TimesNewRomanPS"/>
          <w:b w:val="0"/>
          <w:i/>
          <w:color w:val="000000"/>
          <w:sz w:val="23"/>
          <w:u w:val="single"/>
        </w:rPr>
        <w:t>Anexa nr.3</w:t>
      </w:r>
      <w:r>
        <w:rPr>
          <w:w w:val="101.21739428976309"/>
          <w:rFonts w:ascii="TimesNewRomanPS" w:hAnsi="TimesNewRomanPS" w:eastAsia="TimesNewRomanPS"/>
          <w:b w:val="0"/>
          <w:i/>
          <w:color w:val="000000"/>
          <w:sz w:val="23"/>
        </w:rPr>
        <w:t xml:space="preserve"> </w:t>
      </w:r>
      <w:r>
        <w:br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F_NOT_01 · versiunea 1.0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2"/>
        </w:trPr>
        <w:tc>
          <w:tcPr>
            <w:tcW w:type="dxa" w:w="2547"/>
            <w:vMerge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199999999999818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199999999999818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3.2000000000000455" w:val="single" w:color="#767676"/>
              <w:end w:sz="3.2000000000000455" w:val="single" w:color="#767676"/>
              <w:bottom w:sz="3.2000000000000455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302" w:after="206"/>
        <w:ind w:left="0" w:right="45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NOTIFICARE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titular al dreptului de proprietate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împuternicit al titularului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210"/>
        </w:trPr>
        <w:tc>
          <w:tcPr>
            <w:tcW w:type="dxa" w:w="9348"/>
            <w:gridSpan w:val="4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506"/>
        </w:trPr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Localizare / adresă</w:t>
            </w:r>
          </w:p>
        </w:tc>
        <w:tc>
          <w:tcPr>
            <w:tcW w:type="dxa" w:w="1558"/>
            <w:tcBorders>
              <w:start w:sz="3.199999999999818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cadastral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Suprafață (mp)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4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00000000000455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intravilan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extravilan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mediu rural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mediu urban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4"/>
            <w:tcBorders>
              <w:start w:sz="3.2000000000000455" w:val="single" w:color="#767676"/>
              <w:top w:sz="4.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localitate rurală în zonă metropolitană: DA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NU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neaplicabil</w:t>
            </w:r>
          </w:p>
        </w:tc>
      </w:tr>
      <w:tr>
        <w:trPr>
          <w:trHeight w:hRule="exact" w:val="504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Documentația de urbanism / UTR / reglementarea aplicabilă</w:t>
            </w:r>
          </w:p>
        </w:tc>
      </w:tr>
      <w:tr>
        <w:trPr>
          <w:trHeight w:hRule="exact" w:val="836"/>
        </w:trPr>
        <w:tc>
          <w:tcPr>
            <w:tcW w:type="dxa" w:w="9348"/>
            <w:gridSpan w:val="4"/>
            <w:tcBorders>
              <w:start w:sz="3.2000000000000455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417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afara zonelor construite protejate și a zonelor de protecție a monumentelor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zonă construită protejată / zonă de protecție a monumentului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monument istoric / în curs de clasare / valoare arhitecturală ori istorică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alt regim special</w:t>
            </w:r>
          </w:p>
        </w:tc>
      </w:tr>
    </w:tbl>
    <w:p>
      <w:pPr>
        <w:autoSpaceDN w:val="0"/>
        <w:autoSpaceDE w:val="0"/>
        <w:widowControl/>
        <w:spacing w:line="280" w:lineRule="exact" w:before="2" w:after="220"/>
        <w:ind w:left="720" w:right="1296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temeiul art. 294–298 din Legea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 notific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EXECUTAREA URMĂTOARELOR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LUCRĂRI</w:t>
            </w:r>
          </w:p>
        </w:tc>
      </w:tr>
      <w:tr>
        <w:trPr>
          <w:trHeight w:hRule="exact" w:val="18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 · Lucrări noi în mediul rural, în intravilan, din categoria celor prevăzute la art. 294 alin. (2) lit. a) din Legea nr. 169/2026</w:t>
            </w:r>
          </w:p>
        </w:tc>
      </w:tr>
      <w:tr>
        <w:trPr>
          <w:trHeight w:hRule="exact" w:val="42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201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A.1 construcții noi exterioare locuinței unifamiliale (garaje, terase, pergole, piscine…)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A.2 o singură locuință unifamilială (P sau D+P, max. 150 mp) :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 xml:space="preserve">☐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pe bază de proiect  /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 xml:space="preserve">☐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pe bază de proiect-tip</w:t>
            </w:r>
          </w:p>
        </w:tc>
      </w:tr>
      <w:tr>
        <w:trPr>
          <w:trHeight w:hRule="exact" w:val="193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 · Intervenții la construcții existente — din categoria celor prevăzute la art. 294 alin. (2) lit. b) din Legea nr. 169/2026</w:t>
            </w:r>
          </w:p>
        </w:tc>
      </w:tr>
      <w:tr>
        <w:trPr>
          <w:trHeight w:hRule="exact" w:val="1257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2" w:after="0"/>
              <w:ind w:left="100" w:right="489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B.1 împrejmuiri noi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B.2 înlocuire / reconfigurare acoperiș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B.3 amenajare mansardă în pod existent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B.4 renovare / extindere bucătărie sau baie; închidere unitară logii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B.5 compartimentări nestructurale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B.6 remodelări fațade fără rol structural</w:t>
            </w:r>
          </w:p>
        </w:tc>
      </w:tr>
      <w:tr>
        <w:trPr>
          <w:trHeight w:hRule="exact" w:val="104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4" w:after="0"/>
              <w:ind w:left="100" w:right="4896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B.7 reabilitare energetică unitară (clădiri de locuit, max. 3 niveluri)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B.8 compartimentări demontabile / ușoare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B.9 schimbare de destinație fără lucrări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B.10 grupuri sanitare / camere tehnice (max. 25 mp)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B.11 întreținere / reparații curente la rețele edilitare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6" w:lineRule="exact" w:before="144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F_NOT_01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546" w:bottom="318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18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886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2" w:after="0"/>
              <w:ind w:left="0" w:right="0" w:firstLine="0"/>
              <w:jc w:val="center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 · În zone de protecție a monumentelor sau zone construite protejate — din categoria celor prevăzute la art. 294 alin. (3) din Legea nr. 169/2026</w:t>
            </w:r>
          </w:p>
        </w:tc>
      </w:tr>
      <w:tr>
        <w:trPr>
          <w:trHeight w:hRule="exact" w:val="1248"/>
        </w:trPr>
        <w:tc>
          <w:tcPr>
            <w:tcW w:type="dxa" w:w="9348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504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C.1 reparații / întreținere la construcții existente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C.2 reparații interioare și înlocuiri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C.3 reparații împrejmuiri / acoperișuri / terase / ziduri de sprijin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C.4 compartimentări nestructurale demontabile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C.5 schimbare de destinație fără lucrări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C.6 instalații pentru securitate la incendiu</w:t>
            </w:r>
          </w:p>
        </w:tc>
      </w:tr>
      <w:tr>
        <w:trPr>
          <w:trHeight w:hRule="exact" w:val="19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 · Lucrări de amenajare — art. 294 alin. (4)</w:t>
            </w:r>
          </w:p>
        </w:tc>
      </w:tr>
      <w:tr>
        <w:trPr>
          <w:trHeight w:hRule="exact" w:val="16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504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D.1 campinguri / tabere din structuri ușoare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D.2 modificări în camping / sat de vacanță existent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D.3 teren de sport fără public / parc de distracții (max. 2 ha)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D.4 spații publice / grădini de fațadă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D.5 trotuare / ziduri de sprijin / scări de acces / terase exterioare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D.6 perdele forestiere / împăduriri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D.7 construcții funerare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D.8 rampe de acces pentru persoanele cu dizabilități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10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PROIECTUL TEHNIC DE EXECUȚIE CU CONȚINUT SIMPLIFICAT</w:t>
            </w:r>
          </w:p>
        </w:tc>
      </w:tr>
      <w:tr>
        <w:trPr>
          <w:trHeight w:hRule="exact" w:val="504"/>
        </w:trPr>
        <w:tc>
          <w:tcPr>
            <w:tcW w:type="dxa" w:w="623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Denumire / cod proiect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/ data</w:t>
            </w:r>
          </w:p>
        </w:tc>
      </w:tr>
      <w:tr>
        <w:trPr>
          <w:trHeight w:hRule="exact" w:val="504"/>
        </w:trPr>
        <w:tc>
          <w:tcPr>
            <w:tcW w:type="dxa" w:w="6232"/>
            <w:tcBorders>
              <w:start w:sz="3.2000000000000455" w:val="single" w:color="#767676"/>
              <w:top w:sz="3.2000000000000455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Arhitectură / coordonare — nume/prenume/, nr.TNA</w:t>
            </w:r>
          </w:p>
        </w:tc>
        <w:tc>
          <w:tcPr>
            <w:tcW w:type="dxa" w:w="3116"/>
            <w:tcBorders>
              <w:start w:sz="3.200000000000273" w:val="single" w:color="#767676"/>
              <w:top w:sz="3.2000000000000455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  <w:tr>
        <w:trPr>
          <w:trHeight w:hRule="exact" w:val="506"/>
        </w:trPr>
        <w:tc>
          <w:tcPr>
            <w:tcW w:type="dxa" w:w="6232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Structură — nume/prenume</w:t>
            </w:r>
          </w:p>
        </w:tc>
        <w:tc>
          <w:tcPr>
            <w:tcW w:type="dxa" w:w="311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  <w:tr>
        <w:trPr>
          <w:trHeight w:hRule="exact" w:val="512"/>
        </w:trPr>
        <w:tc>
          <w:tcPr>
            <w:tcW w:type="dxa" w:w="623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230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Instalații — nume/prenume, specialitate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Alte specialități (dacă este cazul)  — nume/prenume, atestare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SE ANEXEAZĂ</w:t>
            </w:r>
          </w:p>
        </w:tc>
      </w:tr>
      <w:tr>
        <w:trPr>
          <w:trHeight w:hRule="exact" w:val="62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100" w:right="432" w:firstLine="4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dovada titlului asupra imobilului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proiectul tehnic cu conținut simplificat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studiul geotehnic (obligatoriu la locuințe unifamiliale)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studiul topografic (obligatoriu la locuințe unifamiliale)     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acordul / avizul pentru patrimoniu, după caz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avizul arhitectului-șef al județului (obligatoriu la locuințe unifamiliale)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dovada plății taxelor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RĂSPUNDEREA</w:t>
            </w:r>
          </w:p>
        </w:tc>
      </w:tr>
      <w:tr>
        <w:trPr>
          <w:trHeight w:hRule="exact" w:val="107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" w:after="0"/>
              <w:ind w:left="100" w:right="288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Declar că lucrările notificate se încadrează strict în art. 294 din Legea nr. 169/2026 și cunosc faptul că confirmarea înregistrării nu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echivalează cu aprobarea notificării, iar răspunderea pentru corectitudinea proiectului revine proiectanților, pe specialități.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Autoritatea administrației publice locale nu este responsabilă pentru eventualele prejudicii ulterioare cauzate de existența unor litigii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aflate pe rolul instanțelor judecătorești privind imobilul și nici pentru existența unor grevări ale imobilului cu sarcini de tipul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interdicțiilor, responsabilitatea aparținând în toate cazurile beneficiarului. </w:t>
            </w:r>
          </w:p>
        </w:tc>
      </w:tr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OBILIGAȚII</w:t>
            </w:r>
          </w:p>
        </w:tc>
      </w:tr>
      <w:tr>
        <w:trPr>
          <w:trHeight w:hRule="exact" w:val="1288"/>
        </w:trPr>
        <w:tc>
          <w:tcPr>
            <w:tcW w:type="dxa" w:w="9348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2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Beneficiarul lucrărilor de construire notificate are obligația amplasării panoului de identificare a investiției la loc vizibil pe durata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execuției – cf. art. 298 alin. (5) din Legea nr.169/2026 </w:t>
            </w:r>
            <w:r>
              <w:br/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Beneficiarul lucrărilor de construire notificate are obligația efectuării recepției la terminarea lucrărilor, între executant, beneficiar și un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reprezentant al unității administrativ-teritoriale precum și înregistrarea procesului-verbal de recepe în Registrul Național al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Construcțiilor. Până la operaționalizarea Registrului Național al Construcțiilor, o copie după procesul-verbal de recepție se transmite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fizic sau prin poștă electronică I.S.C. -  cf. art. 298 alin.(6) din Legea nr.196/2026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8.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COMUNICAREA RĂSPUNSULUI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scris, prin poștă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în format digital, la adresa de e-mail indicată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ridicare de la sediul autorității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9.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Beneficiarul / reprezentantul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4480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F_NOT_01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F_NOT_01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